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11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0"/>
        <w:gridCol w:w="2269"/>
      </w:tblGrid>
      <w:tr>
        <w:trPr>
          <w:trHeight w:val="306" w:hRule="atLeast"/>
        </w:trPr>
        <w:tc>
          <w:tcPr>
            <w:tcW w:w="1810" w:type="dxa"/>
          </w:tcPr>
          <w:p>
            <w:pPr>
              <w:pStyle w:val="TableParagraph"/>
              <w:spacing w:line="273" w:lineRule="exact" w:before="13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Полугодие</w:t>
            </w:r>
          </w:p>
        </w:tc>
        <w:tc>
          <w:tcPr>
            <w:tcW w:w="2269" w:type="dxa"/>
          </w:tcPr>
          <w:p>
            <w:pPr>
              <w:pStyle w:val="TableParagraph"/>
              <w:spacing w:line="273" w:lineRule="exact" w:before="13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</w:tr>
      <w:tr>
        <w:trPr>
          <w:trHeight w:val="306" w:hRule="atLeast"/>
        </w:trPr>
        <w:tc>
          <w:tcPr>
            <w:tcW w:w="1810" w:type="dxa"/>
          </w:tcPr>
          <w:p>
            <w:pPr>
              <w:pStyle w:val="TableParagraph"/>
              <w:spacing w:line="276" w:lineRule="exact" w:before="1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269" w:type="dxa"/>
          </w:tcPr>
          <w:p>
            <w:pPr>
              <w:pStyle w:val="TableParagraph"/>
              <w:spacing w:line="276" w:lineRule="exact" w:before="11"/>
              <w:ind w:left="13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Экономика</w:t>
            </w:r>
          </w:p>
        </w:tc>
      </w:tr>
      <w:tr>
        <w:trPr>
          <w:trHeight w:val="304" w:hRule="atLeast"/>
        </w:trPr>
        <w:tc>
          <w:tcPr>
            <w:tcW w:w="1810" w:type="dxa"/>
          </w:tcPr>
          <w:p>
            <w:pPr>
              <w:pStyle w:val="TableParagraph"/>
              <w:spacing w:line="273" w:lineRule="exact" w:before="11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Класс</w:t>
            </w:r>
          </w:p>
        </w:tc>
        <w:tc>
          <w:tcPr>
            <w:tcW w:w="2269" w:type="dxa"/>
          </w:tcPr>
          <w:p>
            <w:pPr>
              <w:pStyle w:val="TableParagraph"/>
              <w:spacing w:line="273" w:lineRule="exact" w:before="11"/>
              <w:ind w:left="13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</w:tr>
      <w:tr>
        <w:trPr>
          <w:trHeight w:val="306" w:hRule="atLeast"/>
        </w:trPr>
        <w:tc>
          <w:tcPr>
            <w:tcW w:w="181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</w:tbl>
    <w:p>
      <w:pPr>
        <w:spacing w:line="240" w:lineRule="auto" w:before="3"/>
        <w:rPr>
          <w:sz w:val="16"/>
        </w:rPr>
      </w:pPr>
    </w:p>
    <w:p>
      <w:pPr>
        <w:pStyle w:val="BodyText"/>
        <w:spacing w:before="90"/>
        <w:ind w:left="122"/>
        <w:rPr>
          <w:i/>
        </w:rPr>
      </w:pPr>
      <w:r>
        <w:rPr>
          <w:i/>
        </w:rPr>
        <w:t>Образовательный минимум</w:t>
      </w:r>
    </w:p>
    <w:p>
      <w:pPr>
        <w:spacing w:line="240" w:lineRule="auto" w:before="5"/>
        <w:rPr>
          <w:b/>
          <w:i/>
          <w:sz w:val="24"/>
        </w:rPr>
      </w:pPr>
    </w:p>
    <w:p>
      <w:pPr>
        <w:pStyle w:val="BodyText"/>
        <w:ind w:left="1261"/>
        <w:rPr>
          <w:i/>
        </w:rPr>
      </w:pPr>
      <w:r>
        <w:rPr>
          <w:i/>
        </w:rPr>
        <w:t>Тема 2: «Экономический рост»</w:t>
      </w:r>
    </w:p>
    <w:p>
      <w:pPr>
        <w:spacing w:line="240" w:lineRule="auto" w:before="0"/>
        <w:rPr>
          <w:b/>
          <w:i/>
          <w:sz w:val="26"/>
        </w:rPr>
      </w:pPr>
    </w:p>
    <w:p>
      <w:pPr>
        <w:spacing w:line="240" w:lineRule="auto" w:before="0"/>
        <w:rPr>
          <w:b/>
          <w:i/>
          <w:sz w:val="26"/>
        </w:rPr>
      </w:pPr>
    </w:p>
    <w:p>
      <w:pPr>
        <w:spacing w:before="233"/>
        <w:ind w:left="122" w:right="0" w:firstLine="0"/>
        <w:jc w:val="left"/>
        <w:rPr>
          <w:i/>
          <w:sz w:val="24"/>
        </w:rPr>
      </w:pPr>
      <w:r>
        <w:rPr>
          <w:i/>
          <w:sz w:val="24"/>
        </w:rPr>
        <w:t>ЗНАТЬ следующие термины и их определения:</w:t>
      </w: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0"/>
        <w:rPr>
          <w:i/>
          <w:sz w:val="20"/>
        </w:rPr>
      </w:pPr>
    </w:p>
    <w:p>
      <w:pPr>
        <w:spacing w:line="240" w:lineRule="auto" w:before="10" w:after="0"/>
        <w:rPr>
          <w:i/>
          <w:sz w:val="10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81"/>
        <w:gridCol w:w="6104"/>
      </w:tblGrid>
      <w:tr>
        <w:trPr>
          <w:trHeight w:val="314" w:hRule="atLeast"/>
        </w:trPr>
        <w:tc>
          <w:tcPr>
            <w:tcW w:w="3281" w:type="dxa"/>
            <w:tcBorders>
              <w:bottom w:val="double" w:sz="2" w:space="0" w:color="000000"/>
            </w:tcBorders>
          </w:tcPr>
          <w:p>
            <w:pPr>
              <w:pStyle w:val="TableParagraph"/>
              <w:spacing w:before="13"/>
              <w:ind w:left="1109" w:right="109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Термины</w:t>
            </w:r>
          </w:p>
        </w:tc>
        <w:tc>
          <w:tcPr>
            <w:tcW w:w="6104" w:type="dxa"/>
            <w:tcBorders>
              <w:bottom w:val="double" w:sz="2" w:space="0" w:color="000000"/>
            </w:tcBorders>
          </w:tcPr>
          <w:p>
            <w:pPr>
              <w:pStyle w:val="TableParagraph"/>
              <w:spacing w:before="13"/>
              <w:ind w:left="2307" w:right="229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Определения</w:t>
            </w:r>
          </w:p>
        </w:tc>
      </w:tr>
      <w:tr>
        <w:trPr>
          <w:trHeight w:val="864" w:hRule="atLeast"/>
        </w:trPr>
        <w:tc>
          <w:tcPr>
            <w:tcW w:w="3281" w:type="dxa"/>
            <w:tcBorders>
              <w:top w:val="double" w:sz="2" w:space="0" w:color="000000"/>
            </w:tcBorders>
          </w:tcPr>
          <w:p>
            <w:pPr>
              <w:pStyle w:val="TableParagraph"/>
              <w:spacing w:before="7"/>
              <w:ind w:left="0"/>
              <w:rPr>
                <w:i/>
                <w:sz w:val="25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i/>
                <w:sz w:val="24"/>
              </w:rPr>
              <w:t>. Экономический рост</w:t>
            </w:r>
          </w:p>
        </w:tc>
        <w:tc>
          <w:tcPr>
            <w:tcW w:w="6104" w:type="dxa"/>
            <w:tcBorders>
              <w:top w:val="double" w:sz="2" w:space="0" w:color="000000"/>
            </w:tcBorders>
          </w:tcPr>
          <w:p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это долговременное увеличение объема потенциального валового продукта, как в абсолютных показателях, так и в расчетах на душу населения</w:t>
            </w:r>
          </w:p>
        </w:tc>
      </w:tr>
      <w:tr>
        <w:trPr>
          <w:trHeight w:val="582" w:hRule="atLeast"/>
        </w:trPr>
        <w:tc>
          <w:tcPr>
            <w:tcW w:w="3281" w:type="dxa"/>
          </w:tcPr>
          <w:p>
            <w:pPr>
              <w:pStyle w:val="TableParagraph"/>
              <w:spacing w:line="280" w:lineRule="atLeast" w:before="4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sz w:val="24"/>
              </w:rPr>
              <w:t>. </w:t>
            </w:r>
            <w:r>
              <w:rPr>
                <w:b/>
                <w:i/>
                <w:sz w:val="24"/>
              </w:rPr>
              <w:t>Скорость экономического </w:t>
            </w:r>
            <w:r>
              <w:rPr>
                <w:b/>
                <w:i/>
                <w:sz w:val="24"/>
              </w:rPr>
              <w:t>роста</w:t>
            </w:r>
          </w:p>
        </w:tc>
        <w:tc>
          <w:tcPr>
            <w:tcW w:w="6104" w:type="dxa"/>
          </w:tcPr>
          <w:p>
            <w:pPr>
              <w:pStyle w:val="TableParagraph"/>
              <w:spacing w:before="8"/>
              <w:ind w:right="311"/>
              <w:rPr>
                <w:sz w:val="24"/>
              </w:rPr>
            </w:pPr>
            <w:r>
              <w:rPr>
                <w:sz w:val="24"/>
              </w:rPr>
              <w:t>выражается в среднегодовых темпах прироста ВВП или ВНП в течение данного периода</w:t>
            </w:r>
          </w:p>
        </w:tc>
      </w:tr>
      <w:tr>
        <w:trPr>
          <w:trHeight w:val="1411" w:hRule="atLeast"/>
        </w:trPr>
        <w:tc>
          <w:tcPr>
            <w:tcW w:w="3281" w:type="dxa"/>
          </w:tcPr>
          <w:p>
            <w:pPr>
              <w:pStyle w:val="TableParagraph"/>
              <w:ind w:left="0"/>
              <w:rPr>
                <w:i/>
                <w:sz w:val="26"/>
              </w:rPr>
            </w:pPr>
          </w:p>
          <w:p>
            <w:pPr>
              <w:pStyle w:val="TableParagraph"/>
              <w:spacing w:before="2"/>
              <w:ind w:left="0"/>
              <w:rPr>
                <w:i/>
                <w:sz w:val="23"/>
              </w:rPr>
            </w:pPr>
          </w:p>
          <w:p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w w:val="105"/>
                <w:sz w:val="24"/>
              </w:rPr>
              <w:t>3. </w:t>
            </w:r>
            <w:r>
              <w:rPr>
                <w:b/>
                <w:i/>
                <w:w w:val="105"/>
                <w:sz w:val="24"/>
              </w:rPr>
              <w:t>Длинные циклы</w:t>
            </w:r>
          </w:p>
        </w:tc>
        <w:tc>
          <w:tcPr>
            <w:tcW w:w="6104" w:type="dxa"/>
          </w:tcPr>
          <w:p>
            <w:pPr>
              <w:pStyle w:val="TableParagraph"/>
              <w:spacing w:before="9"/>
              <w:ind w:right="218" w:firstLine="60"/>
              <w:rPr>
                <w:sz w:val="24"/>
              </w:rPr>
            </w:pPr>
            <w:r>
              <w:rPr>
                <w:sz w:val="24"/>
              </w:rPr>
              <w:t>- это долговременное ритмичное чередование периодов, когда темпы экономического роста имеют тенденцию повышаться (повышательная волна), и периодов, когда темпы экономического роста имеют тенденцию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понижаться (понижательная волна)</w:t>
            </w:r>
          </w:p>
        </w:tc>
      </w:tr>
    </w:tbl>
    <w:p>
      <w:pPr>
        <w:spacing w:line="240" w:lineRule="auto" w:before="0"/>
        <w:rPr>
          <w:i/>
          <w:sz w:val="26"/>
        </w:rPr>
      </w:pPr>
    </w:p>
    <w:p>
      <w:pPr>
        <w:spacing w:line="240" w:lineRule="auto" w:before="1"/>
        <w:rPr>
          <w:i/>
          <w:sz w:val="22"/>
        </w:rPr>
      </w:pPr>
    </w:p>
    <w:p>
      <w:pPr>
        <w:pStyle w:val="BodyText"/>
        <w:ind w:left="122"/>
        <w:rPr>
          <w:i/>
        </w:rPr>
      </w:pPr>
      <w:r>
        <w:rPr>
          <w:i/>
        </w:rPr>
        <w:t>Тема: « Экономика и государство»</w:t>
      </w:r>
    </w:p>
    <w:p>
      <w:pPr>
        <w:spacing w:line="240" w:lineRule="auto" w:before="9"/>
        <w:rPr>
          <w:b/>
          <w:i/>
          <w:sz w:val="23"/>
        </w:rPr>
      </w:pPr>
    </w:p>
    <w:p>
      <w:pPr>
        <w:spacing w:before="0"/>
        <w:ind w:left="122" w:right="0" w:firstLine="0"/>
        <w:jc w:val="left"/>
        <w:rPr>
          <w:i/>
          <w:sz w:val="24"/>
        </w:rPr>
      </w:pPr>
      <w:r>
        <w:rPr>
          <w:i/>
          <w:sz w:val="24"/>
        </w:rPr>
        <w:t>ЗНАТЬ термины и их определения:</w:t>
      </w:r>
    </w:p>
    <w:p>
      <w:pPr>
        <w:spacing w:line="240" w:lineRule="auto" w:before="2" w:after="0"/>
        <w:rPr>
          <w:i/>
          <w:sz w:val="25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77"/>
        <w:gridCol w:w="6110"/>
      </w:tblGrid>
      <w:tr>
        <w:trPr>
          <w:trHeight w:val="307" w:hRule="atLeast"/>
        </w:trPr>
        <w:tc>
          <w:tcPr>
            <w:tcW w:w="3277" w:type="dxa"/>
          </w:tcPr>
          <w:p>
            <w:pPr>
              <w:pStyle w:val="TableParagraph"/>
              <w:spacing w:line="273" w:lineRule="exact" w:before="14"/>
              <w:ind w:left="1107" w:right="1095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Термины</w:t>
            </w:r>
          </w:p>
        </w:tc>
        <w:tc>
          <w:tcPr>
            <w:tcW w:w="6110" w:type="dxa"/>
          </w:tcPr>
          <w:p>
            <w:pPr>
              <w:pStyle w:val="TableParagraph"/>
              <w:spacing w:line="273" w:lineRule="exact" w:before="14"/>
              <w:ind w:left="733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Определения</w:t>
            </w:r>
          </w:p>
        </w:tc>
      </w:tr>
      <w:tr>
        <w:trPr>
          <w:trHeight w:val="1686" w:hRule="atLeast"/>
        </w:trPr>
        <w:tc>
          <w:tcPr>
            <w:tcW w:w="3277" w:type="dxa"/>
          </w:tcPr>
          <w:p>
            <w:pPr>
              <w:pStyle w:val="TableParagraph"/>
              <w:ind w:left="0"/>
              <w:rPr>
                <w:i/>
                <w:sz w:val="26"/>
              </w:rPr>
            </w:pPr>
          </w:p>
          <w:p>
            <w:pPr>
              <w:pStyle w:val="TableParagraph"/>
              <w:spacing w:before="10"/>
              <w:ind w:left="0"/>
              <w:rPr>
                <w:i/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i/>
                <w:sz w:val="24"/>
              </w:rPr>
            </w:pPr>
            <w:r>
              <w:rPr>
                <w:b/>
                <w:w w:val="95"/>
                <w:sz w:val="24"/>
              </w:rPr>
              <w:t>1.</w:t>
            </w:r>
            <w:r>
              <w:rPr>
                <w:b/>
                <w:i/>
                <w:w w:val="95"/>
                <w:sz w:val="24"/>
              </w:rPr>
              <w:t>Политика стабилизации </w:t>
            </w:r>
            <w:r>
              <w:rPr>
                <w:b/>
                <w:i/>
                <w:sz w:val="24"/>
              </w:rPr>
              <w:t>экономики</w:t>
            </w:r>
          </w:p>
        </w:tc>
        <w:tc>
          <w:tcPr>
            <w:tcW w:w="6110" w:type="dxa"/>
          </w:tcPr>
          <w:p>
            <w:pPr>
              <w:pStyle w:val="TableParagraph"/>
              <w:spacing w:before="6"/>
              <w:ind w:left="13" w:right="271"/>
              <w:rPr>
                <w:sz w:val="24"/>
              </w:rPr>
            </w:pPr>
            <w:r>
              <w:rPr>
                <w:sz w:val="24"/>
              </w:rPr>
              <w:t>включает три направления: антициклическую политику, политику по достижению и поддержанию полной</w:t>
            </w:r>
          </w:p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t>занятости и антиинфляционную политику. При этом</w:t>
            </w:r>
          </w:p>
          <w:p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t>каждое из этих направлений стабилизационной политики не может проводится изолированно от других её направлений</w:t>
            </w:r>
          </w:p>
        </w:tc>
      </w:tr>
      <w:tr>
        <w:trPr>
          <w:trHeight w:val="856" w:hRule="atLeast"/>
        </w:trPr>
        <w:tc>
          <w:tcPr>
            <w:tcW w:w="3277" w:type="dxa"/>
          </w:tcPr>
          <w:p>
            <w:pPr>
              <w:pStyle w:val="TableParagraph"/>
              <w:spacing w:before="10"/>
              <w:ind w:left="0"/>
              <w:rPr>
                <w:i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2. Кривая Лаффера</w:t>
            </w:r>
          </w:p>
        </w:tc>
        <w:tc>
          <w:tcPr>
            <w:tcW w:w="6110" w:type="dxa"/>
          </w:tcPr>
          <w:p>
            <w:pPr>
              <w:pStyle w:val="TableParagraph"/>
              <w:spacing w:before="6"/>
              <w:ind w:left="13" w:right="444" w:firstLine="60"/>
              <w:rPr>
                <w:sz w:val="24"/>
              </w:rPr>
            </w:pPr>
            <w:r>
              <w:rPr>
                <w:sz w:val="24"/>
              </w:rPr>
              <w:t>показывает функциональную зависимость величины налоговых поступлений в государственный бюджет от уровня налоговых ставок</w:t>
            </w:r>
          </w:p>
        </w:tc>
      </w:tr>
      <w:tr>
        <w:trPr>
          <w:trHeight w:val="582" w:hRule="atLeast"/>
        </w:trPr>
        <w:tc>
          <w:tcPr>
            <w:tcW w:w="3277" w:type="dxa"/>
          </w:tcPr>
          <w:p>
            <w:pPr>
              <w:pStyle w:val="TableParagraph"/>
              <w:spacing w:before="150"/>
              <w:rPr>
                <w:b/>
                <w:i/>
                <w:sz w:val="24"/>
              </w:rPr>
            </w:pPr>
            <w:r>
              <w:rPr>
                <w:b/>
                <w:i/>
                <w:w w:val="105"/>
                <w:sz w:val="24"/>
              </w:rPr>
              <w:t>3. Государственный долг</w:t>
            </w:r>
          </w:p>
        </w:tc>
        <w:tc>
          <w:tcPr>
            <w:tcW w:w="6110" w:type="dxa"/>
          </w:tcPr>
          <w:p>
            <w:pPr>
              <w:pStyle w:val="TableParagraph"/>
              <w:spacing w:before="8"/>
              <w:ind w:left="13"/>
              <w:rPr>
                <w:sz w:val="24"/>
              </w:rPr>
            </w:pPr>
            <w:r>
              <w:rPr>
                <w:sz w:val="24"/>
              </w:rPr>
              <w:t>Общая сумма имеющихся у домашних хозяйств, банков и частных фирм государственных ценных бумаг</w:t>
            </w:r>
          </w:p>
        </w:tc>
      </w:tr>
    </w:tbl>
    <w:sectPr>
      <w:type w:val="continuous"/>
      <w:pgSz w:w="11910" w:h="16840"/>
      <w:pgMar w:top="1580" w:bottom="280" w:left="15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4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2021-02-08T16:34:54Z</dcterms:created>
  <dcterms:modified xsi:type="dcterms:W3CDTF">2021-02-08T16:34:54Z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2021-02-08T00:00:00Z</vt:filetime>
  </property>
</Properties>
</file>