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7"/>
        <w:gridCol w:w="2410"/>
      </w:tblGrid>
      <w:tr>
        <w:trPr>
          <w:trHeight w:val="253" w:hRule="atLeast"/>
        </w:trPr>
        <w:tc>
          <w:tcPr>
            <w:tcW w:w="2377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Четверть</w:t>
            </w:r>
          </w:p>
        </w:tc>
        <w:tc>
          <w:tcPr>
            <w:tcW w:w="2410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w w:val="100"/>
                <w:sz w:val="22"/>
              </w:rPr>
              <w:t>3</w:t>
            </w:r>
          </w:p>
        </w:tc>
      </w:tr>
      <w:tr>
        <w:trPr>
          <w:trHeight w:val="254" w:hRule="atLeast"/>
        </w:trPr>
        <w:tc>
          <w:tcPr>
            <w:tcW w:w="2377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Предмет</w:t>
            </w:r>
          </w:p>
        </w:tc>
        <w:tc>
          <w:tcPr>
            <w:tcW w:w="2410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обществознание</w:t>
            </w:r>
          </w:p>
        </w:tc>
      </w:tr>
      <w:tr>
        <w:trPr>
          <w:trHeight w:val="252" w:hRule="atLeast"/>
        </w:trPr>
        <w:tc>
          <w:tcPr>
            <w:tcW w:w="2377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2410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</w:tr>
    </w:tbl>
    <w:p>
      <w:pPr>
        <w:spacing w:line="240" w:lineRule="auto" w:before="9"/>
        <w:rPr>
          <w:sz w:val="15"/>
        </w:rPr>
      </w:pPr>
    </w:p>
    <w:p>
      <w:pPr>
        <w:pStyle w:val="Title"/>
      </w:pPr>
      <w:r>
        <w:rPr/>
        <w:t>Образовательный минимум</w:t>
      </w:r>
    </w:p>
    <w:p>
      <w:pPr>
        <w:spacing w:line="240" w:lineRule="auto" w:before="5"/>
        <w:rPr>
          <w:b/>
          <w:sz w:val="24"/>
        </w:rPr>
      </w:pPr>
    </w:p>
    <w:p>
      <w:pPr>
        <w:pStyle w:val="BodyText"/>
        <w:ind w:left="222" w:right="1198"/>
      </w:pPr>
      <w:r>
        <w:rPr>
          <w:i/>
        </w:rPr>
        <w:t>ЗНАТЬ следующие понятия и их определения, принятые в обществознании и </w:t>
      </w:r>
      <w:r>
        <w:rPr/>
        <w:t>социальных науках.</w:t>
      </w:r>
    </w:p>
    <w:p>
      <w:pPr>
        <w:spacing w:line="240" w:lineRule="auto" w:before="6" w:after="0"/>
        <w:rPr>
          <w:b/>
          <w:i/>
          <w:sz w:val="24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9"/>
        <w:gridCol w:w="7245"/>
      </w:tblGrid>
      <w:tr>
        <w:trPr>
          <w:trHeight w:val="505" w:hRule="atLeast"/>
        </w:trPr>
        <w:tc>
          <w:tcPr>
            <w:tcW w:w="2329" w:type="dxa"/>
          </w:tcPr>
          <w:p>
            <w:pPr>
              <w:pStyle w:val="TableParagraph"/>
              <w:spacing w:before="111"/>
              <w:rPr>
                <w:b/>
                <w:sz w:val="24"/>
              </w:rPr>
            </w:pPr>
            <w:r>
              <w:rPr>
                <w:b/>
                <w:sz w:val="24"/>
              </w:rPr>
              <w:t>Маргинал</w:t>
            </w:r>
          </w:p>
        </w:tc>
        <w:tc>
          <w:tcPr>
            <w:tcW w:w="7245" w:type="dxa"/>
          </w:tcPr>
          <w:p>
            <w:pPr>
              <w:pStyle w:val="TableParagraph"/>
              <w:spacing w:line="248" w:lineRule="exact"/>
              <w:ind w:left="104"/>
              <w:rPr>
                <w:sz w:val="22"/>
              </w:rPr>
            </w:pPr>
            <w:r>
              <w:rPr>
                <w:sz w:val="22"/>
              </w:rPr>
              <w:t>Находящийся вне социальной группы- иммигранты, безработные,</w:t>
            </w:r>
          </w:p>
          <w:p>
            <w:pPr>
              <w:pStyle w:val="TableParagraph"/>
              <w:spacing w:line="238" w:lineRule="exact"/>
              <w:ind w:left="104"/>
              <w:rPr>
                <w:sz w:val="22"/>
              </w:rPr>
            </w:pPr>
            <w:r>
              <w:rPr>
                <w:sz w:val="22"/>
              </w:rPr>
              <w:t>инвалиды, бомжи</w:t>
            </w:r>
          </w:p>
        </w:tc>
      </w:tr>
      <w:tr>
        <w:trPr>
          <w:trHeight w:val="551" w:hRule="atLeast"/>
        </w:trPr>
        <w:tc>
          <w:tcPr>
            <w:tcW w:w="2329" w:type="dxa"/>
          </w:tcPr>
          <w:p>
            <w:pPr>
              <w:pStyle w:val="TableParagraph"/>
              <w:spacing w:line="274" w:lineRule="exact" w:before="3"/>
              <w:ind w:left="467" w:right="128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Социальная стратификация</w:t>
            </w:r>
          </w:p>
        </w:tc>
        <w:tc>
          <w:tcPr>
            <w:tcW w:w="7245" w:type="dxa"/>
          </w:tcPr>
          <w:p>
            <w:pPr>
              <w:pStyle w:val="TableParagraph"/>
              <w:ind w:left="104" w:right="445"/>
              <w:rPr>
                <w:sz w:val="22"/>
              </w:rPr>
            </w:pPr>
            <w:r>
              <w:rPr>
                <w:sz w:val="22"/>
              </w:rPr>
              <w:t>Выделение социальных слоев по определенным признакам: возрасту, полу, образованию, вероисповеданию, месту жительства, доходу и т.д.</w:t>
            </w:r>
          </w:p>
        </w:tc>
      </w:tr>
      <w:tr>
        <w:trPr>
          <w:trHeight w:val="553" w:hRule="atLeast"/>
        </w:trPr>
        <w:tc>
          <w:tcPr>
            <w:tcW w:w="2329" w:type="dxa"/>
          </w:tcPr>
          <w:p>
            <w:pPr>
              <w:pStyle w:val="TableParagraph"/>
              <w:spacing w:line="276" w:lineRule="exact" w:before="2"/>
              <w:ind w:left="467" w:right="419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Социальная мобильность</w:t>
            </w:r>
          </w:p>
        </w:tc>
        <w:tc>
          <w:tcPr>
            <w:tcW w:w="7245" w:type="dxa"/>
          </w:tcPr>
          <w:p>
            <w:pPr>
              <w:pStyle w:val="TableParagraph"/>
              <w:spacing w:line="249" w:lineRule="exact"/>
              <w:ind w:left="104"/>
              <w:rPr>
                <w:sz w:val="22"/>
              </w:rPr>
            </w:pPr>
            <w:r>
              <w:rPr>
                <w:sz w:val="22"/>
              </w:rPr>
              <w:t>Переход людей из одних социальных групп в другие.</w:t>
            </w:r>
          </w:p>
        </w:tc>
      </w:tr>
      <w:tr>
        <w:trPr>
          <w:trHeight w:val="828" w:hRule="atLeast"/>
        </w:trPr>
        <w:tc>
          <w:tcPr>
            <w:tcW w:w="2329" w:type="dxa"/>
          </w:tcPr>
          <w:p>
            <w:pPr>
              <w:pStyle w:val="TableParagraph"/>
              <w:spacing w:line="276" w:lineRule="exact"/>
              <w:ind w:left="467" w:right="405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Горизонтальная социальная мобильность</w:t>
            </w:r>
          </w:p>
        </w:tc>
        <w:tc>
          <w:tcPr>
            <w:tcW w:w="7245" w:type="dxa"/>
          </w:tcPr>
          <w:p>
            <w:pPr>
              <w:pStyle w:val="TableParagraph"/>
              <w:ind w:left="104" w:right="88"/>
              <w:rPr>
                <w:sz w:val="22"/>
              </w:rPr>
            </w:pPr>
            <w:r>
              <w:rPr>
                <w:sz w:val="22"/>
              </w:rPr>
              <w:t>Переход из группы в группу без изменения социального статуса – из цеха в цех, из класса в класс</w:t>
            </w:r>
          </w:p>
        </w:tc>
      </w:tr>
      <w:tr>
        <w:trPr>
          <w:trHeight w:val="1103" w:hRule="atLeast"/>
        </w:trPr>
        <w:tc>
          <w:tcPr>
            <w:tcW w:w="2329" w:type="dxa"/>
          </w:tcPr>
          <w:p>
            <w:pPr>
              <w:pStyle w:val="TableParagraph"/>
              <w:ind w:left="467" w:right="532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Вертикальная восходящая социальная</w:t>
            </w:r>
          </w:p>
          <w:p>
            <w:pPr>
              <w:pStyle w:val="TableParagraph"/>
              <w:spacing w:line="259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мобильность</w:t>
            </w:r>
          </w:p>
        </w:tc>
        <w:tc>
          <w:tcPr>
            <w:tcW w:w="7245" w:type="dxa"/>
          </w:tcPr>
          <w:p>
            <w:pPr>
              <w:pStyle w:val="TableParagraph"/>
              <w:ind w:left="104" w:right="871"/>
              <w:rPr>
                <w:sz w:val="22"/>
              </w:rPr>
            </w:pPr>
            <w:r>
              <w:rPr>
                <w:sz w:val="22"/>
              </w:rPr>
              <w:t>Переход в вышестоящую социальную группу – был рабочим, стал директором</w:t>
            </w:r>
          </w:p>
        </w:tc>
      </w:tr>
      <w:tr>
        <w:trPr>
          <w:trHeight w:val="758" w:hRule="atLeast"/>
        </w:trPr>
        <w:tc>
          <w:tcPr>
            <w:tcW w:w="2329" w:type="dxa"/>
          </w:tcPr>
          <w:p>
            <w:pPr>
              <w:pStyle w:val="TableParagraph"/>
              <w:ind w:right="786"/>
              <w:rPr>
                <w:b/>
                <w:sz w:val="22"/>
              </w:rPr>
            </w:pPr>
            <w:r>
              <w:rPr>
                <w:b/>
                <w:sz w:val="22"/>
              </w:rPr>
              <w:t>Нисходящая вертикальная</w:t>
            </w:r>
          </w:p>
          <w:p>
            <w:pPr>
              <w:pStyle w:val="TableParagraph"/>
              <w:spacing w:line="233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мобильность</w:t>
            </w:r>
          </w:p>
        </w:tc>
        <w:tc>
          <w:tcPr>
            <w:tcW w:w="7245" w:type="dxa"/>
          </w:tcPr>
          <w:p>
            <w:pPr>
              <w:pStyle w:val="TableParagraph"/>
              <w:ind w:left="104"/>
              <w:rPr>
                <w:sz w:val="22"/>
              </w:rPr>
            </w:pPr>
            <w:r>
              <w:rPr>
                <w:sz w:val="22"/>
              </w:rPr>
              <w:t>Переход в нижестоящую по положению социальную группу- был директором, стал рабочим</w:t>
            </w:r>
          </w:p>
        </w:tc>
      </w:tr>
      <w:tr>
        <w:trPr>
          <w:trHeight w:val="760" w:hRule="atLeast"/>
        </w:trPr>
        <w:tc>
          <w:tcPr>
            <w:tcW w:w="2329" w:type="dxa"/>
          </w:tcPr>
          <w:p>
            <w:pPr>
              <w:pStyle w:val="TableParagraph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Социальные лифты</w:t>
            </w:r>
          </w:p>
        </w:tc>
        <w:tc>
          <w:tcPr>
            <w:tcW w:w="7245" w:type="dxa"/>
          </w:tcPr>
          <w:p>
            <w:pPr>
              <w:pStyle w:val="TableParagraph"/>
              <w:spacing w:line="242" w:lineRule="auto"/>
              <w:ind w:left="104"/>
              <w:rPr>
                <w:sz w:val="22"/>
              </w:rPr>
            </w:pPr>
            <w:r>
              <w:rPr>
                <w:sz w:val="22"/>
              </w:rPr>
              <w:t>Каналы социальной мобильности: семья, армия, образование, собственность,</w:t>
            </w:r>
          </w:p>
          <w:p>
            <w:pPr>
              <w:pStyle w:val="TableParagraph"/>
              <w:spacing w:line="236" w:lineRule="exact"/>
              <w:ind w:left="104"/>
              <w:rPr>
                <w:sz w:val="22"/>
              </w:rPr>
            </w:pPr>
            <w:r>
              <w:rPr>
                <w:sz w:val="22"/>
              </w:rPr>
              <w:t>может быть революция, война и т.д.</w:t>
            </w:r>
          </w:p>
        </w:tc>
      </w:tr>
      <w:tr>
        <w:trPr>
          <w:trHeight w:val="506" w:hRule="atLeast"/>
        </w:trPr>
        <w:tc>
          <w:tcPr>
            <w:tcW w:w="2329" w:type="dxa"/>
          </w:tcPr>
          <w:p>
            <w:pPr>
              <w:pStyle w:val="TableParagraph"/>
              <w:spacing w:line="252" w:lineRule="exact" w:before="2"/>
              <w:ind w:right="894"/>
              <w:rPr>
                <w:b/>
                <w:sz w:val="22"/>
              </w:rPr>
            </w:pPr>
            <w:r>
              <w:rPr>
                <w:b/>
                <w:sz w:val="22"/>
              </w:rPr>
              <w:t>Социальный конфликт</w:t>
            </w:r>
          </w:p>
        </w:tc>
        <w:tc>
          <w:tcPr>
            <w:tcW w:w="7245" w:type="dxa"/>
          </w:tcPr>
          <w:p>
            <w:pPr>
              <w:pStyle w:val="TableParagraph"/>
              <w:spacing w:line="247" w:lineRule="exact"/>
              <w:ind w:left="104"/>
              <w:rPr>
                <w:sz w:val="22"/>
              </w:rPr>
            </w:pPr>
            <w:r>
              <w:rPr>
                <w:sz w:val="22"/>
              </w:rPr>
              <w:t>Противоборство взаимосвязанных, но преследующих свои цели сторон</w:t>
            </w:r>
          </w:p>
        </w:tc>
      </w:tr>
    </w:tbl>
    <w:sectPr>
      <w:type w:val="continuous"/>
      <w:pgSz w:w="11910" w:h="16840"/>
      <w:pgMar w:top="112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22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2021-02-08T16:20:25Z</dcterms:created>
  <dcterms:modified xsi:type="dcterms:W3CDTF">2021-02-08T16:20:25Z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