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sz w:val="20"/>
        </w:rPr>
      </w:pPr>
    </w:p>
    <w:p>
      <w:pPr>
        <w:pStyle w:val="BodyText"/>
        <w:spacing w:before="5"/>
        <w:ind w:left="0"/>
        <w:rPr>
          <w:sz w:val="18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2269"/>
      </w:tblGrid>
      <w:tr>
        <w:trPr>
          <w:trHeight w:val="306" w:hRule="atLeast"/>
        </w:trPr>
        <w:tc>
          <w:tcPr>
            <w:tcW w:w="1810" w:type="dxa"/>
          </w:tcPr>
          <w:p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2269" w:type="dxa"/>
          </w:tcPr>
          <w:p>
            <w:pPr>
              <w:pStyle w:val="TableParagraph"/>
              <w:spacing w:line="273" w:lineRule="exact"/>
              <w:ind w:left="13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304" w:hRule="atLeast"/>
        </w:trPr>
        <w:tc>
          <w:tcPr>
            <w:tcW w:w="1810" w:type="dxa"/>
          </w:tcPr>
          <w:p>
            <w:pPr>
              <w:pStyle w:val="TableParagraph"/>
              <w:spacing w:line="273" w:lineRule="exact" w:before="11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2269" w:type="dxa"/>
          </w:tcPr>
          <w:p>
            <w:pPr>
              <w:pStyle w:val="TableParagraph"/>
              <w:spacing w:line="273" w:lineRule="exact" w:before="11"/>
              <w:ind w:left="73"/>
              <w:rPr>
                <w:b/>
                <w:sz w:val="24"/>
              </w:rPr>
            </w:pPr>
            <w:r>
              <w:rPr>
                <w:b/>
                <w:color w:val="C00000"/>
                <w:sz w:val="24"/>
              </w:rPr>
              <w:t>История</w:t>
            </w:r>
          </w:p>
        </w:tc>
      </w:tr>
      <w:tr>
        <w:trPr>
          <w:trHeight w:val="314" w:hRule="atLeast"/>
        </w:trPr>
        <w:tc>
          <w:tcPr>
            <w:tcW w:w="1810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269" w:type="dxa"/>
            <w:tcBorders>
              <w:bottom w:val="double" w:sz="2" w:space="0" w:color="000000"/>
            </w:tcBorders>
          </w:tcPr>
          <w:p>
            <w:pPr>
              <w:pStyle w:val="TableParagraph"/>
              <w:ind w:left="13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</w:tr>
    </w:tbl>
    <w:p>
      <w:pPr>
        <w:pStyle w:val="Heading1"/>
        <w:spacing w:before="22"/>
        <w:rPr>
          <w:i/>
        </w:rPr>
      </w:pPr>
      <w:r>
        <w:rPr>
          <w:i/>
        </w:rPr>
        <w:t>ЗНАТЬ даты следующих исторических событий</w:t>
      </w:r>
    </w:p>
    <w:p>
      <w:pPr>
        <w:pStyle w:val="BodyText"/>
        <w:spacing w:before="6"/>
        <w:ind w:left="0"/>
        <w:rPr>
          <w:b/>
          <w:i/>
          <w:sz w:val="23"/>
        </w:rPr>
      </w:pPr>
    </w:p>
    <w:p>
      <w:pPr>
        <w:pStyle w:val="BodyText"/>
        <w:ind w:right="731"/>
      </w:pPr>
      <w:r>
        <w:rPr/>
        <w:t>1612 год 4 ноября – освобождение Москвы от польских интервентов силами Второго ополчения во главе с Кузьмой Мининым Дмитрием Пожарским</w:t>
      </w:r>
    </w:p>
    <w:p>
      <w:pPr>
        <w:pStyle w:val="BodyText"/>
        <w:ind w:right="1297"/>
      </w:pPr>
      <w:r>
        <w:rPr/>
        <w:t>1613 год- избрание Михаила Романова на престол, начало династии Романовых 1654 год-вхождение Украины в состав России</w:t>
      </w:r>
    </w:p>
    <w:p>
      <w:pPr>
        <w:pStyle w:val="BodyText"/>
        <w:ind w:right="7045"/>
      </w:pPr>
      <w:r>
        <w:rPr/>
        <w:t>1648 год- Соляной бунт 1662 год- Медный бунт</w:t>
      </w:r>
    </w:p>
    <w:p>
      <w:pPr>
        <w:pStyle w:val="BodyText"/>
        <w:spacing w:before="1"/>
      </w:pPr>
      <w:r>
        <w:rPr/>
        <w:t>1649 год- Принятие Соборного Уложения</w:t>
      </w:r>
    </w:p>
    <w:p>
      <w:pPr>
        <w:pStyle w:val="BodyText"/>
        <w:ind w:right="1570"/>
      </w:pPr>
      <w:r>
        <w:rPr/>
        <w:t>1670-1671 годы - восстание крестьян под предводительством Степана Разина 1652- начало церковного раскола, реформа патриарха Никона</w:t>
      </w:r>
    </w:p>
    <w:p>
      <w:pPr>
        <w:pStyle w:val="BodyText"/>
        <w:ind w:right="3831"/>
      </w:pPr>
      <w:r>
        <w:rPr/>
        <w:t>1682 – 1725 годы – правление Петра Первого Великого 1700-1721 годы- Северная война</w:t>
      </w:r>
    </w:p>
    <w:p>
      <w:pPr>
        <w:pStyle w:val="BodyText"/>
        <w:ind w:right="2610"/>
      </w:pPr>
      <w:r>
        <w:rPr/>
        <w:t>1709 год- Битва под Полтавой, победа русской армии над шведами 1711 год- создание Сената</w:t>
      </w:r>
    </w:p>
    <w:p>
      <w:pPr>
        <w:pStyle w:val="BodyText"/>
      </w:pPr>
      <w:r>
        <w:rPr/>
        <w:t>1717г- создание коллегий</w:t>
      </w:r>
    </w:p>
    <w:p>
      <w:pPr>
        <w:pStyle w:val="BodyText"/>
      </w:pPr>
      <w:r>
        <w:rPr/>
        <w:t>1762-1796 – правление Екатерины Великой</w:t>
      </w:r>
    </w:p>
    <w:p>
      <w:pPr>
        <w:pStyle w:val="BodyText"/>
      </w:pPr>
      <w:r>
        <w:rPr/>
        <w:t>1790 год- взятие крепости Измаил войсками А.В. Суворова</w:t>
      </w:r>
    </w:p>
    <w:p>
      <w:pPr>
        <w:pStyle w:val="BodyText"/>
        <w:spacing w:before="5"/>
        <w:ind w:left="0"/>
      </w:pPr>
    </w:p>
    <w:p>
      <w:pPr>
        <w:pStyle w:val="Heading1"/>
        <w:rPr>
          <w:i/>
        </w:rPr>
      </w:pPr>
      <w:r>
        <w:rPr>
          <w:i/>
        </w:rPr>
        <w:t>ЗНАТЬ определения следующих терминов</w:t>
      </w:r>
    </w:p>
    <w:p>
      <w:pPr>
        <w:pStyle w:val="BodyText"/>
        <w:spacing w:before="3"/>
        <w:ind w:left="0"/>
        <w:rPr>
          <w:b/>
          <w:i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91"/>
        <w:gridCol w:w="6095"/>
      </w:tblGrid>
      <w:tr>
        <w:trPr>
          <w:trHeight w:val="307" w:hRule="atLeast"/>
        </w:trPr>
        <w:tc>
          <w:tcPr>
            <w:tcW w:w="3291" w:type="dxa"/>
          </w:tcPr>
          <w:p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Мануфактура</w:t>
            </w:r>
          </w:p>
        </w:tc>
        <w:tc>
          <w:tcPr>
            <w:tcW w:w="6095" w:type="dxa"/>
          </w:tcPr>
          <w:p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Производство, основанное на ручном труде</w:t>
            </w:r>
          </w:p>
        </w:tc>
      </w:tr>
      <w:tr>
        <w:trPr>
          <w:trHeight w:val="1410" w:hRule="atLeast"/>
        </w:trPr>
        <w:tc>
          <w:tcPr>
            <w:tcW w:w="3291" w:type="dxa"/>
          </w:tcPr>
          <w:p>
            <w:pPr>
              <w:pStyle w:val="TableParagraph"/>
              <w:spacing w:before="0"/>
              <w:ind w:left="0"/>
              <w:rPr>
                <w:b/>
                <w:i/>
                <w:sz w:val="26"/>
              </w:rPr>
            </w:pPr>
          </w:p>
          <w:p>
            <w:pPr>
              <w:pStyle w:val="TableParagraph"/>
              <w:spacing w:before="10"/>
              <w:ind w:left="0"/>
              <w:rPr>
                <w:b/>
                <w:i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Смутное время</w:t>
            </w:r>
          </w:p>
        </w:tc>
        <w:tc>
          <w:tcPr>
            <w:tcW w:w="6095" w:type="dxa"/>
          </w:tcPr>
          <w:p>
            <w:pPr>
              <w:pStyle w:val="TableParagraph"/>
              <w:spacing w:before="6"/>
              <w:ind w:right="-3"/>
              <w:rPr>
                <w:sz w:val="24"/>
              </w:rPr>
            </w:pPr>
            <w:r>
              <w:rPr>
                <w:sz w:val="24"/>
              </w:rPr>
              <w:t>Период в начале 17 века в истории России, характеризующийся острыми социальными потрясениями, вызванными пресечением династии Рюриковичей,</w:t>
            </w:r>
          </w:p>
          <w:p>
            <w:pPr>
              <w:pStyle w:val="TableParagraph"/>
              <w:spacing w:before="0"/>
              <w:ind w:right="758"/>
              <w:rPr>
                <w:sz w:val="24"/>
              </w:rPr>
            </w:pPr>
            <w:r>
              <w:rPr>
                <w:sz w:val="24"/>
              </w:rPr>
              <w:t>загадочной смертью царевича Дмитрия, Ливонской войной и опричниной</w:t>
            </w:r>
          </w:p>
        </w:tc>
      </w:tr>
    </w:tbl>
    <w:sectPr>
      <w:type w:val="continuous"/>
      <w:pgSz w:w="11910" w:h="16840"/>
      <w:pgMar w:top="1580" w:bottom="280" w:left="15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>
      <w:ind w:left="122"/>
    </w:pPr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styleId="Heading1" w:type="paragraph">
    <w:name w:val="Heading 1"/>
    <w:basedOn w:val="Normal"/>
    <w:uiPriority w:val="1"/>
    <w:qFormat/>
    <w:pPr>
      <w:ind w:left="122"/>
      <w:outlineLvl w:val="1"/>
    </w:pPr>
    <w:rPr>
      <w:rFonts w:ascii="Times New Roman" w:hAnsi="Times New Roman" w:eastAsia="Times New Roman" w:cs="Times New Roman"/>
      <w:b/>
      <w:bCs/>
      <w:i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>
      <w:spacing w:before="13"/>
      <w:ind w:left="14"/>
    </w:pPr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2021-02-08T15:48:34Z</dcterms:created>
  <dcterms:modified xsi:type="dcterms:W3CDTF">2021-02-08T15:48:34Z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