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10"/>
        <w:rPr>
          <w:sz w:val="7"/>
        </w:rPr>
      </w:pPr>
    </w:p>
    <w:tbl>
      <w:tblPr>
        <w:tblW w:w="0" w:type="auto"/>
        <w:jc w:val="left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0"/>
        <w:gridCol w:w="1703"/>
      </w:tblGrid>
      <w:tr>
        <w:trPr>
          <w:trHeight w:val="276" w:hRule="atLeast"/>
        </w:trPr>
        <w:tc>
          <w:tcPr>
            <w:tcW w:w="1810" w:type="dxa"/>
          </w:tcPr>
          <w:p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Четверть</w:t>
            </w:r>
          </w:p>
        </w:tc>
        <w:tc>
          <w:tcPr>
            <w:tcW w:w="1703" w:type="dxa"/>
          </w:tcPr>
          <w:p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>
        <w:trPr>
          <w:trHeight w:val="275" w:hRule="atLeast"/>
        </w:trPr>
        <w:tc>
          <w:tcPr>
            <w:tcW w:w="1810" w:type="dxa"/>
          </w:tcPr>
          <w:p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1703" w:type="dxa"/>
          </w:tcPr>
          <w:p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История</w:t>
            </w:r>
          </w:p>
        </w:tc>
      </w:tr>
      <w:tr>
        <w:trPr>
          <w:trHeight w:val="277" w:hRule="atLeast"/>
        </w:trPr>
        <w:tc>
          <w:tcPr>
            <w:tcW w:w="1810" w:type="dxa"/>
          </w:tcPr>
          <w:p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1703" w:type="dxa"/>
          </w:tcPr>
          <w:p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</w:tr>
    </w:tbl>
    <w:p>
      <w:pPr>
        <w:spacing w:line="240" w:lineRule="auto" w:before="11"/>
        <w:rPr>
          <w:sz w:val="15"/>
        </w:rPr>
      </w:pPr>
    </w:p>
    <w:p>
      <w:pPr>
        <w:pStyle w:val="BodyText"/>
        <w:spacing w:before="90" w:after="3"/>
        <w:ind w:left="262" w:firstLine="0"/>
        <w:rPr>
          <w:i/>
        </w:rPr>
      </w:pPr>
      <w:r>
        <w:rPr>
          <w:i/>
        </w:rPr>
        <w:t>ЗНАТЬ определения следующих терминов:</w:t>
      </w:r>
    </w:p>
    <w:tbl>
      <w:tblPr>
        <w:tblW w:w="0" w:type="auto"/>
        <w:jc w:val="left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62"/>
        <w:gridCol w:w="6250"/>
      </w:tblGrid>
      <w:tr>
        <w:trPr>
          <w:trHeight w:val="306" w:hRule="atLeast"/>
        </w:trPr>
        <w:tc>
          <w:tcPr>
            <w:tcW w:w="3262" w:type="dxa"/>
          </w:tcPr>
          <w:p>
            <w:pPr>
              <w:pStyle w:val="TableParagraph"/>
              <w:spacing w:line="276" w:lineRule="exact" w:before="11"/>
              <w:ind w:left="1096" w:right="10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Термины</w:t>
            </w:r>
          </w:p>
        </w:tc>
        <w:tc>
          <w:tcPr>
            <w:tcW w:w="6250" w:type="dxa"/>
          </w:tcPr>
          <w:p>
            <w:pPr>
              <w:pStyle w:val="TableParagraph"/>
              <w:spacing w:line="276" w:lineRule="exact" w:before="11"/>
              <w:ind w:left="2385" w:right="23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Определения</w:t>
            </w:r>
          </w:p>
        </w:tc>
      </w:tr>
      <w:tr>
        <w:trPr>
          <w:trHeight w:val="580" w:hRule="atLeast"/>
        </w:trPr>
        <w:tc>
          <w:tcPr>
            <w:tcW w:w="3262" w:type="dxa"/>
          </w:tcPr>
          <w:p>
            <w:pPr>
              <w:pStyle w:val="TableParagraph"/>
              <w:spacing w:before="150"/>
              <w:ind w:left="515"/>
              <w:rPr>
                <w:b/>
                <w:sz w:val="24"/>
              </w:rPr>
            </w:pPr>
            <w:r>
              <w:rPr>
                <w:b/>
                <w:sz w:val="24"/>
              </w:rPr>
              <w:t>Подушная подать</w:t>
            </w:r>
          </w:p>
        </w:tc>
        <w:tc>
          <w:tcPr>
            <w:tcW w:w="6250" w:type="dxa"/>
          </w:tcPr>
          <w:p>
            <w:pPr>
              <w:pStyle w:val="TableParagraph"/>
              <w:spacing w:before="6"/>
              <w:ind w:right="39"/>
              <w:rPr>
                <w:sz w:val="24"/>
              </w:rPr>
            </w:pPr>
            <w:r>
              <w:rPr>
                <w:sz w:val="24"/>
              </w:rPr>
              <w:t>Основной прямой налог в России 18 века, сбираемый со всех лиц мужского пола.</w:t>
            </w:r>
          </w:p>
        </w:tc>
      </w:tr>
      <w:tr>
        <w:trPr>
          <w:trHeight w:val="858" w:hRule="atLeast"/>
        </w:trPr>
        <w:tc>
          <w:tcPr>
            <w:tcW w:w="3262" w:type="dxa"/>
          </w:tcPr>
          <w:p>
            <w:pPr>
              <w:pStyle w:val="TableParagraph"/>
              <w:spacing w:before="1"/>
              <w:ind w:left="0"/>
              <w:rPr>
                <w:b/>
                <w:i/>
                <w:sz w:val="25"/>
              </w:rPr>
            </w:pPr>
          </w:p>
          <w:p>
            <w:pPr>
              <w:pStyle w:val="TableParagraph"/>
              <w:ind w:left="515"/>
              <w:rPr>
                <w:b/>
                <w:sz w:val="24"/>
              </w:rPr>
            </w:pPr>
            <w:r>
              <w:rPr>
                <w:b/>
                <w:sz w:val="24"/>
              </w:rPr>
              <w:t>Синод</w:t>
            </w:r>
          </w:p>
        </w:tc>
        <w:tc>
          <w:tcPr>
            <w:tcW w:w="6250" w:type="dxa"/>
          </w:tcPr>
          <w:p>
            <w:pPr>
              <w:pStyle w:val="TableParagraph"/>
              <w:spacing w:before="8"/>
              <w:ind w:right="39"/>
              <w:rPr>
                <w:sz w:val="24"/>
              </w:rPr>
            </w:pPr>
            <w:r>
              <w:rPr>
                <w:sz w:val="24"/>
              </w:rPr>
              <w:t>Один из высших государственных органов, который занимался вопросами церковного управления в России начала 18 века</w:t>
            </w:r>
          </w:p>
        </w:tc>
      </w:tr>
      <w:tr>
        <w:trPr>
          <w:trHeight w:val="583" w:hRule="atLeast"/>
        </w:trPr>
        <w:tc>
          <w:tcPr>
            <w:tcW w:w="3262" w:type="dxa"/>
          </w:tcPr>
          <w:p>
            <w:pPr>
              <w:pStyle w:val="TableParagraph"/>
              <w:spacing w:before="150"/>
              <w:ind w:left="515"/>
              <w:rPr>
                <w:b/>
                <w:sz w:val="24"/>
              </w:rPr>
            </w:pPr>
            <w:r>
              <w:rPr>
                <w:b/>
                <w:sz w:val="24"/>
              </w:rPr>
              <w:t>Классицизм</w:t>
            </w:r>
          </w:p>
        </w:tc>
        <w:tc>
          <w:tcPr>
            <w:tcW w:w="6250" w:type="dxa"/>
          </w:tcPr>
          <w:p>
            <w:pPr>
              <w:pStyle w:val="TableParagraph"/>
              <w:spacing w:before="6"/>
              <w:ind w:right="39"/>
              <w:rPr>
                <w:sz w:val="24"/>
              </w:rPr>
            </w:pPr>
            <w:r>
              <w:rPr>
                <w:sz w:val="24"/>
              </w:rPr>
              <w:t>Стиль и направление в литературе и искусстве 17-начала 19 веков, основанный на подражании античной культуре</w:t>
            </w:r>
          </w:p>
        </w:tc>
      </w:tr>
      <w:tr>
        <w:trPr>
          <w:trHeight w:val="856" w:hRule="atLeast"/>
        </w:trPr>
        <w:tc>
          <w:tcPr>
            <w:tcW w:w="3262" w:type="dxa"/>
          </w:tcPr>
          <w:p>
            <w:pPr>
              <w:pStyle w:val="TableParagraph"/>
              <w:spacing w:before="10"/>
              <w:ind w:left="0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Бироновщина</w:t>
            </w:r>
          </w:p>
        </w:tc>
        <w:tc>
          <w:tcPr>
            <w:tcW w:w="6250" w:type="dxa"/>
          </w:tcPr>
          <w:p>
            <w:pPr>
              <w:pStyle w:val="TableParagraph"/>
              <w:spacing w:before="6"/>
              <w:ind w:right="39" w:firstLine="60"/>
              <w:rPr>
                <w:sz w:val="24"/>
              </w:rPr>
            </w:pPr>
            <w:r>
              <w:rPr>
                <w:sz w:val="24"/>
              </w:rPr>
              <w:t>Политический режим в 30-е годы 18 века, основанный на власти иностранцев в период правления Анны Ионновны (от имени ее фаворита Бирона)</w:t>
            </w:r>
          </w:p>
        </w:tc>
      </w:tr>
      <w:tr>
        <w:trPr>
          <w:trHeight w:val="582" w:hRule="atLeast"/>
        </w:trPr>
        <w:tc>
          <w:tcPr>
            <w:tcW w:w="3262" w:type="dxa"/>
          </w:tcPr>
          <w:p>
            <w:pPr>
              <w:pStyle w:val="TableParagraph"/>
              <w:spacing w:before="150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Верховный тайный совет</w:t>
            </w:r>
          </w:p>
        </w:tc>
        <w:tc>
          <w:tcPr>
            <w:tcW w:w="6250" w:type="dxa"/>
          </w:tcPr>
          <w:p>
            <w:pPr>
              <w:pStyle w:val="TableParagraph"/>
              <w:spacing w:before="8"/>
              <w:ind w:right="1168"/>
              <w:rPr>
                <w:sz w:val="24"/>
              </w:rPr>
            </w:pPr>
            <w:r>
              <w:rPr>
                <w:sz w:val="24"/>
              </w:rPr>
              <w:t>Высшее государственное учреждение, созданное Екатериной Первой с 1726 по 1730 год.</w:t>
            </w:r>
          </w:p>
        </w:tc>
      </w:tr>
      <w:tr>
        <w:trPr>
          <w:trHeight w:val="582" w:hRule="atLeast"/>
        </w:trPr>
        <w:tc>
          <w:tcPr>
            <w:tcW w:w="3262" w:type="dxa"/>
          </w:tcPr>
          <w:p>
            <w:pPr>
              <w:pStyle w:val="TableParagraph"/>
              <w:spacing w:before="150"/>
              <w:ind w:left="215"/>
              <w:rPr>
                <w:b/>
                <w:sz w:val="24"/>
              </w:rPr>
            </w:pPr>
            <w:r>
              <w:rPr>
                <w:b/>
                <w:sz w:val="24"/>
              </w:rPr>
              <w:t>Дворцовые перевороты</w:t>
            </w:r>
          </w:p>
        </w:tc>
        <w:tc>
          <w:tcPr>
            <w:tcW w:w="6250" w:type="dxa"/>
          </w:tcPr>
          <w:p>
            <w:pPr>
              <w:pStyle w:val="TableParagraph"/>
              <w:spacing w:before="8"/>
              <w:ind w:right="65"/>
              <w:rPr>
                <w:sz w:val="24"/>
              </w:rPr>
            </w:pPr>
            <w:r>
              <w:rPr>
                <w:sz w:val="24"/>
              </w:rPr>
              <w:t>Насильственное взятие верховной власти с использованием военной силы в результате заговора</w:t>
            </w:r>
          </w:p>
        </w:tc>
      </w:tr>
    </w:tbl>
    <w:p>
      <w:pPr>
        <w:spacing w:line="240" w:lineRule="auto" w:before="1"/>
        <w:rPr>
          <w:b/>
          <w:i/>
          <w:sz w:val="24"/>
        </w:rPr>
      </w:pPr>
    </w:p>
    <w:p>
      <w:pPr>
        <w:pStyle w:val="Title"/>
      </w:pPr>
      <w:r>
        <w:rPr/>
        <w:t>Знать следующие даты:</w:t>
      </w:r>
    </w:p>
    <w:p>
      <w:pPr>
        <w:spacing w:line="240" w:lineRule="auto" w:before="3"/>
        <w:rPr>
          <w:b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622" w:val="left" w:leader="none"/>
        </w:tabs>
        <w:spacing w:line="240" w:lineRule="auto" w:before="0" w:after="0"/>
        <w:ind w:left="622" w:right="0" w:hanging="360"/>
        <w:jc w:val="left"/>
        <w:rPr>
          <w:b/>
          <w:i/>
          <w:sz w:val="24"/>
        </w:rPr>
      </w:pPr>
      <w:r>
        <w:rPr>
          <w:b/>
          <w:i/>
          <w:sz w:val="24"/>
        </w:rPr>
        <w:t>1700-1721 годы- Северная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война</w:t>
      </w:r>
    </w:p>
    <w:p>
      <w:pPr>
        <w:pStyle w:val="ListParagraph"/>
        <w:numPr>
          <w:ilvl w:val="0"/>
          <w:numId w:val="1"/>
        </w:numPr>
        <w:tabs>
          <w:tab w:pos="622" w:val="left" w:leader="none"/>
        </w:tabs>
        <w:spacing w:line="240" w:lineRule="auto" w:before="0" w:after="0"/>
        <w:ind w:left="622" w:right="0" w:hanging="360"/>
        <w:jc w:val="left"/>
        <w:rPr>
          <w:b/>
          <w:i/>
          <w:sz w:val="24"/>
        </w:rPr>
      </w:pPr>
      <w:r>
        <w:rPr>
          <w:b/>
          <w:i/>
          <w:sz w:val="24"/>
        </w:rPr>
        <w:t>1725-1727- годы правления Екатерины I, начало дворцовых</w:t>
      </w:r>
      <w:r>
        <w:rPr>
          <w:b/>
          <w:i/>
          <w:spacing w:val="-8"/>
          <w:sz w:val="24"/>
        </w:rPr>
        <w:t> </w:t>
      </w:r>
      <w:r>
        <w:rPr>
          <w:b/>
          <w:i/>
          <w:sz w:val="24"/>
        </w:rPr>
        <w:t>переворотов</w:t>
      </w:r>
    </w:p>
    <w:p>
      <w:pPr>
        <w:pStyle w:val="ListParagraph"/>
        <w:numPr>
          <w:ilvl w:val="0"/>
          <w:numId w:val="1"/>
        </w:numPr>
        <w:tabs>
          <w:tab w:pos="622" w:val="left" w:leader="none"/>
        </w:tabs>
        <w:spacing w:line="240" w:lineRule="auto" w:before="0" w:after="0"/>
        <w:ind w:left="622" w:right="0" w:hanging="360"/>
        <w:jc w:val="left"/>
        <w:rPr>
          <w:b/>
          <w:i/>
          <w:sz w:val="24"/>
        </w:rPr>
      </w:pPr>
      <w:r>
        <w:rPr>
          <w:b/>
          <w:i/>
          <w:sz w:val="24"/>
        </w:rPr>
        <w:t>1727-1730- годы правления ПетраII - внука Петра</w:t>
      </w:r>
      <w:r>
        <w:rPr>
          <w:b/>
          <w:i/>
          <w:spacing w:val="-6"/>
          <w:sz w:val="24"/>
        </w:rPr>
        <w:t> </w:t>
      </w:r>
      <w:r>
        <w:rPr>
          <w:b/>
          <w:i/>
          <w:sz w:val="24"/>
        </w:rPr>
        <w:t>Первого</w:t>
      </w:r>
    </w:p>
    <w:p>
      <w:pPr>
        <w:pStyle w:val="ListParagraph"/>
        <w:numPr>
          <w:ilvl w:val="0"/>
          <w:numId w:val="1"/>
        </w:numPr>
        <w:tabs>
          <w:tab w:pos="622" w:val="left" w:leader="none"/>
        </w:tabs>
        <w:spacing w:line="240" w:lineRule="auto" w:before="0" w:after="0"/>
        <w:ind w:left="622" w:right="0" w:hanging="360"/>
        <w:jc w:val="left"/>
        <w:rPr>
          <w:b/>
          <w:i/>
          <w:sz w:val="24"/>
        </w:rPr>
      </w:pPr>
      <w:r>
        <w:rPr>
          <w:b/>
          <w:i/>
          <w:sz w:val="24"/>
        </w:rPr>
        <w:t>1730-1740- годы правления Анны Иоанновны</w:t>
      </w:r>
      <w:r>
        <w:rPr>
          <w:b/>
          <w:i/>
          <w:spacing w:val="-10"/>
          <w:sz w:val="24"/>
        </w:rPr>
        <w:t> </w:t>
      </w:r>
      <w:r>
        <w:rPr>
          <w:b/>
          <w:i/>
          <w:sz w:val="24"/>
        </w:rPr>
        <w:t>(Бироновщина)</w:t>
      </w:r>
    </w:p>
    <w:p>
      <w:pPr>
        <w:pStyle w:val="ListParagraph"/>
        <w:numPr>
          <w:ilvl w:val="0"/>
          <w:numId w:val="1"/>
        </w:numPr>
        <w:tabs>
          <w:tab w:pos="622" w:val="left" w:leader="none"/>
        </w:tabs>
        <w:spacing w:line="240" w:lineRule="auto" w:before="0" w:after="0"/>
        <w:ind w:left="622" w:right="0" w:hanging="360"/>
        <w:jc w:val="left"/>
        <w:rPr>
          <w:b/>
          <w:i/>
          <w:sz w:val="24"/>
        </w:rPr>
      </w:pPr>
      <w:r>
        <w:rPr>
          <w:b/>
          <w:i/>
          <w:sz w:val="24"/>
        </w:rPr>
        <w:t>1740- 1741- годы правления Ивана </w:t>
      </w:r>
      <w:r>
        <w:rPr>
          <w:b/>
          <w:i/>
          <w:spacing w:val="-3"/>
          <w:sz w:val="24"/>
        </w:rPr>
        <w:t>VI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Антоновича</w:t>
      </w:r>
    </w:p>
    <w:p>
      <w:pPr>
        <w:pStyle w:val="ListParagraph"/>
        <w:numPr>
          <w:ilvl w:val="0"/>
          <w:numId w:val="1"/>
        </w:numPr>
        <w:tabs>
          <w:tab w:pos="622" w:val="left" w:leader="none"/>
        </w:tabs>
        <w:spacing w:line="240" w:lineRule="auto" w:before="0" w:after="0"/>
        <w:ind w:left="622" w:right="0" w:hanging="360"/>
        <w:jc w:val="left"/>
        <w:rPr>
          <w:b/>
          <w:i/>
          <w:sz w:val="24"/>
        </w:rPr>
      </w:pPr>
      <w:r>
        <w:rPr>
          <w:b/>
          <w:i/>
          <w:sz w:val="24"/>
        </w:rPr>
        <w:t>1741-1761 – годы правления Елизаветы</w:t>
      </w:r>
      <w:r>
        <w:rPr>
          <w:b/>
          <w:i/>
          <w:spacing w:val="-3"/>
          <w:sz w:val="24"/>
        </w:rPr>
        <w:t> </w:t>
      </w:r>
      <w:r>
        <w:rPr>
          <w:b/>
          <w:i/>
          <w:sz w:val="24"/>
        </w:rPr>
        <w:t>Петровны</w:t>
      </w:r>
    </w:p>
    <w:p>
      <w:pPr>
        <w:pStyle w:val="ListParagraph"/>
        <w:numPr>
          <w:ilvl w:val="0"/>
          <w:numId w:val="1"/>
        </w:numPr>
        <w:tabs>
          <w:tab w:pos="622" w:val="left" w:leader="none"/>
        </w:tabs>
        <w:spacing w:line="240" w:lineRule="auto" w:before="0" w:after="0"/>
        <w:ind w:left="622" w:right="0" w:hanging="360"/>
        <w:jc w:val="left"/>
        <w:rPr>
          <w:b/>
          <w:i/>
          <w:sz w:val="24"/>
        </w:rPr>
      </w:pPr>
      <w:r>
        <w:rPr>
          <w:b/>
          <w:i/>
          <w:sz w:val="24"/>
        </w:rPr>
        <w:t>1756-1763 – Семилетняя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война</w:t>
      </w:r>
    </w:p>
    <w:sectPr>
      <w:type w:val="continuous"/>
      <w:pgSz w:w="11910" w:h="16840"/>
      <w:pgMar w:top="1580" w:bottom="280" w:left="144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622" w:hanging="360"/>
        <w:jc w:val="left"/>
      </w:pPr>
      <w:rPr>
        <w:rFonts w:hint="default" w:ascii="Times New Roman" w:hAnsi="Times New Roman" w:eastAsia="Times New Roman" w:cs="Times New Roman"/>
        <w:b/>
        <w:bCs/>
        <w:i/>
        <w:spacing w:val="-2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534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49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63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8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07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2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37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622" w:hanging="360"/>
    </w:pPr>
    <w:rPr>
      <w:rFonts w:ascii="Times New Roman" w:hAnsi="Times New Roman" w:eastAsia="Times New Roman" w:cs="Times New Roman"/>
      <w:b/>
      <w:bCs/>
      <w:i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262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622" w:hanging="36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4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2021-02-08T15:32:27Z</dcterms:created>
  <dcterms:modified xsi:type="dcterms:W3CDTF">2021-02-08T15:32:27Z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2021-02-08T00:00:00Z</vt:filetime>
  </property>
</Properties>
</file>